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694209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Water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4C1AE9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694209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Our first steps</w:t>
            </w:r>
            <w:r w:rsidR="00D42423" w:rsidRPr="00E17970">
              <w:rPr>
                <w:rFonts w:ascii="Arial" w:hAnsi="Arial" w:cs="Arial"/>
                <w:color w:val="FFFFFF"/>
                <w:sz w:val="28"/>
                <w:szCs w:val="34"/>
              </w:rPr>
              <w:t>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t xml:space="preserve">Understand the </w:t>
            </w:r>
            <w:hyperlink r:id="rId9" w:history="1">
              <w:r w:rsidRPr="005F687E">
                <w:rPr>
                  <w:rStyle w:val="Hyperlink"/>
                </w:rPr>
                <w:t>NT’s water</w:t>
              </w:r>
            </w:hyperlink>
            <w:r w:rsidRPr="00694209">
              <w:t xml:space="preserve"> story including what the NT Government’s plans and future priorities are to secure water supplies in the areas you operate.</w:t>
            </w:r>
          </w:p>
        </w:tc>
        <w:sdt>
          <w:sdtPr>
            <w:rPr>
              <w:rFonts w:ascii="Arial" w:hAnsi="Arial" w:cs="Arial"/>
              <w:color w:val="333374"/>
            </w:rPr>
            <w:id w:val="422836442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t xml:space="preserve">Every 3 months complete a 3-Step Leak Check using </w:t>
            </w:r>
            <w:hyperlink r:id="rId10" w:history="1">
              <w:r w:rsidRPr="005F687E">
                <w:rPr>
                  <w:rStyle w:val="Hyperlink"/>
                </w:rPr>
                <w:t>Living Water Smart’s</w:t>
              </w:r>
            </w:hyperlink>
            <w:r w:rsidRPr="00694209">
              <w:t xml:space="preserve"> advice:</w:t>
            </w:r>
          </w:p>
          <w:p w:rsidR="00694209" w:rsidRPr="00694209" w:rsidRDefault="00694209" w:rsidP="006B522B">
            <w:pPr>
              <w:pStyle w:val="bodycopy"/>
              <w:numPr>
                <w:ilvl w:val="0"/>
                <w:numId w:val="4"/>
              </w:numPr>
            </w:pPr>
            <w:r w:rsidRPr="00694209">
              <w:t xml:space="preserve">Make sure that there is no water being used in your business. </w:t>
            </w:r>
          </w:p>
          <w:p w:rsidR="006B522B" w:rsidRDefault="00694209" w:rsidP="006B522B">
            <w:pPr>
              <w:pStyle w:val="bodycopy"/>
              <w:numPr>
                <w:ilvl w:val="0"/>
                <w:numId w:val="4"/>
              </w:numPr>
            </w:pPr>
            <w:r w:rsidRPr="00694209">
              <w:t xml:space="preserve">Go to your water meter and take a reading of the last two red digits. </w:t>
            </w:r>
          </w:p>
          <w:p w:rsidR="00694209" w:rsidRPr="00694209" w:rsidRDefault="00694209" w:rsidP="006B522B">
            <w:pPr>
              <w:pStyle w:val="bodycopy"/>
              <w:numPr>
                <w:ilvl w:val="0"/>
                <w:numId w:val="4"/>
              </w:numPr>
            </w:pPr>
            <w:r w:rsidRPr="00694209">
              <w:t xml:space="preserve">Wait 5 minutes, then take another reading of the last two red digits. If there was movement of the dial, you may have a leak. Even the smallest leak can add up to a lot of wasted water over a year.  </w:t>
            </w:r>
          </w:p>
        </w:tc>
        <w:sdt>
          <w:sdtPr>
            <w:rPr>
              <w:rFonts w:ascii="Arial" w:hAnsi="Arial" w:cs="Arial"/>
              <w:color w:val="333374"/>
            </w:rPr>
            <w:id w:val="2034298452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t xml:space="preserve">Check for toilet leaks. Add dye to your cistern and if after an hour dye appears in the bowl, you may have a leak. A leaking toilet, barely discernable to the naked eye, can waste over 200 </w:t>
            </w:r>
            <w:proofErr w:type="spellStart"/>
            <w:r w:rsidRPr="00694209">
              <w:t>kilolitres</w:t>
            </w:r>
            <w:proofErr w:type="spellEnd"/>
            <w:r w:rsidRPr="00694209">
              <w:t xml:space="preserve"> of water per year!</w:t>
            </w:r>
          </w:p>
        </w:tc>
        <w:sdt>
          <w:sdtPr>
            <w:rPr>
              <w:rFonts w:ascii="Arial" w:hAnsi="Arial" w:cs="Arial"/>
              <w:color w:val="333374"/>
            </w:rPr>
            <w:id w:val="2108681797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t xml:space="preserve">Over irrigating is a big contributor to water wastage, and it doesn’t do your garden or lawn any </w:t>
            </w:r>
            <w:proofErr w:type="spellStart"/>
            <w:r w:rsidRPr="00694209">
              <w:t>favours</w:t>
            </w:r>
            <w:proofErr w:type="spellEnd"/>
            <w:r w:rsidRPr="00694209">
              <w:t xml:space="preserve">! Implement these </w:t>
            </w:r>
            <w:hyperlink r:id="rId11" w:history="1">
              <w:r w:rsidRPr="005F687E">
                <w:rPr>
                  <w:rStyle w:val="Hyperlink"/>
                </w:rPr>
                <w:t>Living Water Smart</w:t>
              </w:r>
            </w:hyperlink>
            <w:r w:rsidRPr="00694209">
              <w:t xml:space="preserve"> tips to save water in your garden and grounds:</w:t>
            </w:r>
          </w:p>
          <w:p w:rsidR="00694209" w:rsidRPr="00694209" w:rsidRDefault="00694209" w:rsidP="006B522B">
            <w:pPr>
              <w:pStyle w:val="bodycopy"/>
              <w:numPr>
                <w:ilvl w:val="0"/>
                <w:numId w:val="6"/>
              </w:numPr>
            </w:pPr>
            <w:r w:rsidRPr="00694209">
              <w:t xml:space="preserve">Water lawns three times a week, garden beds twice a week and natives just once a week. </w:t>
            </w:r>
          </w:p>
          <w:p w:rsidR="00694209" w:rsidRPr="00694209" w:rsidRDefault="00694209" w:rsidP="006B522B">
            <w:pPr>
              <w:pStyle w:val="bodycopy"/>
              <w:numPr>
                <w:ilvl w:val="0"/>
                <w:numId w:val="6"/>
              </w:numPr>
            </w:pPr>
            <w:r w:rsidRPr="00694209">
              <w:t>Water once the sun goes down and before the sun rises in the morning.</w:t>
            </w:r>
          </w:p>
          <w:p w:rsidR="006B522B" w:rsidRDefault="00694209" w:rsidP="006B522B">
            <w:pPr>
              <w:pStyle w:val="bodycopy"/>
              <w:numPr>
                <w:ilvl w:val="0"/>
                <w:numId w:val="6"/>
              </w:numPr>
            </w:pPr>
            <w:r w:rsidRPr="00694209">
              <w:t>Turn off your irrigation system when it rains (this might be the whole wet season in the Top End!).</w:t>
            </w:r>
          </w:p>
          <w:p w:rsidR="00694209" w:rsidRPr="00694209" w:rsidRDefault="00694209" w:rsidP="006B522B">
            <w:pPr>
              <w:pStyle w:val="bodycopy"/>
              <w:numPr>
                <w:ilvl w:val="0"/>
                <w:numId w:val="6"/>
              </w:numPr>
            </w:pPr>
            <w:r w:rsidRPr="00694209">
              <w:t>Check your irrigation system for splits in your lines, blocked pipes and broken sprinkler heads.</w:t>
            </w:r>
          </w:p>
        </w:tc>
        <w:sdt>
          <w:sdtPr>
            <w:rPr>
              <w:rFonts w:ascii="Arial" w:hAnsi="Arial" w:cs="Arial"/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t xml:space="preserve">Ensure your </w:t>
            </w:r>
            <w:hyperlink r:id="rId12" w:history="1">
              <w:r w:rsidRPr="005F687E">
                <w:rPr>
                  <w:rStyle w:val="Hyperlink"/>
                </w:rPr>
                <w:t>pool is running efficiently</w:t>
              </w:r>
            </w:hyperlink>
            <w:r w:rsidRPr="00694209">
              <w:t>. It may be more practical and cost effective to outsource pool maintenance to an expert – however make sure they know your water efficiency goals!</w:t>
            </w:r>
          </w:p>
        </w:tc>
        <w:sdt>
          <w:sdtPr>
            <w:rPr>
              <w:rFonts w:ascii="Arial" w:hAnsi="Arial" w:cs="Arial"/>
              <w:color w:val="333374"/>
            </w:rPr>
            <w:id w:val="138051877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t xml:space="preserve">Display signs, posters or flyers to educate and encourage staff and </w:t>
            </w:r>
            <w:proofErr w:type="spellStart"/>
            <w:r w:rsidRPr="00694209">
              <w:t>travellers</w:t>
            </w:r>
            <w:proofErr w:type="spellEnd"/>
            <w:r w:rsidRPr="00694209">
              <w:t xml:space="preserve"> about water conservation. Give </w:t>
            </w:r>
            <w:proofErr w:type="spellStart"/>
            <w:r w:rsidRPr="00694209">
              <w:t>travellers</w:t>
            </w:r>
            <w:proofErr w:type="spellEnd"/>
            <w:r w:rsidRPr="00694209">
              <w:t xml:space="preserve"> practical advice relevant to their visitor experience, for example ask tour groups to limit their shower times in remote and regional locations.   </w:t>
            </w:r>
          </w:p>
        </w:tc>
        <w:sdt>
          <w:sdtPr>
            <w:rPr>
              <w:rFonts w:ascii="Arial" w:hAnsi="Arial" w:cs="Arial"/>
              <w:color w:val="333374"/>
            </w:rPr>
            <w:id w:val="-61005156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t xml:space="preserve">Include water saving policies and procedures in staff training and encourage guides and customer service staff to include water conservation in their introduction briefs to visitors. </w:t>
            </w:r>
          </w:p>
        </w:tc>
        <w:sdt>
          <w:sdtPr>
            <w:rPr>
              <w:rFonts w:ascii="Arial" w:hAnsi="Arial" w:cs="Arial"/>
              <w:color w:val="333374"/>
            </w:rPr>
            <w:id w:val="86402282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94209" w:rsidRPr="00694209" w:rsidRDefault="00694209" w:rsidP="006B522B">
            <w:pPr>
              <w:pStyle w:val="bodycopy"/>
            </w:pPr>
            <w:r w:rsidRPr="00694209">
              <w:rPr>
                <w:spacing w:val="-6"/>
              </w:rPr>
              <w:t>Encourage staff to contribute to water savings ideas, creating a water efficiency culture within your business. You could even identify monthly ‘water saving champions’ within your team and reward them accordingly!</w:t>
            </w:r>
          </w:p>
        </w:tc>
        <w:sdt>
          <w:sdtPr>
            <w:rPr>
              <w:rFonts w:ascii="Arial" w:hAnsi="Arial" w:cs="Arial"/>
              <w:color w:val="333374"/>
            </w:rPr>
            <w:id w:val="-1913229399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Pr="00AC578A" w:rsidRDefault="0069420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694209" w:rsidRPr="00AC578A" w:rsidTr="004C1AE9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6B522B" w:rsidRPr="006B522B" w:rsidRDefault="00694209" w:rsidP="006B522B">
            <w:pPr>
              <w:pStyle w:val="bodycopy"/>
              <w:rPr>
                <w:rFonts w:cs="Ubuntu Light"/>
                <w:color w:val="313172"/>
                <w:sz w:val="19"/>
                <w:szCs w:val="19"/>
              </w:rPr>
            </w:pPr>
            <w:r w:rsidRPr="00694209">
              <w:rPr>
                <w:rFonts w:cs="Ubuntu Light"/>
                <w:color w:val="313172"/>
                <w:sz w:val="19"/>
                <w:szCs w:val="19"/>
              </w:rPr>
              <w:t>Measure your water use annually to track how well your initiatives are working and to pinpoint your weaknesses.</w:t>
            </w:r>
          </w:p>
        </w:tc>
        <w:sdt>
          <w:sdtPr>
            <w:rPr>
              <w:rFonts w:ascii="Arial" w:hAnsi="Arial" w:cs="Arial"/>
              <w:color w:val="333374"/>
            </w:rPr>
            <w:id w:val="380916385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694209" w:rsidRDefault="00CD0B19" w:rsidP="00694209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4C1AE9"/>
    <w:sectPr w:rsidR="005E434B" w:rsidSect="00B64F5C">
      <w:footerReference w:type="default" r:id="rId13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340F"/>
    <w:multiLevelType w:val="hybridMultilevel"/>
    <w:tmpl w:val="BA7EF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0AA0"/>
    <w:multiLevelType w:val="hybridMultilevel"/>
    <w:tmpl w:val="BB6CA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56DB"/>
    <w:multiLevelType w:val="hybridMultilevel"/>
    <w:tmpl w:val="C89EE470"/>
    <w:lvl w:ilvl="0" w:tplc="8728A1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63AE"/>
    <w:multiLevelType w:val="hybridMultilevel"/>
    <w:tmpl w:val="56902388"/>
    <w:lvl w:ilvl="0" w:tplc="F7AC46FA">
      <w:start w:val="3"/>
      <w:numFmt w:val="bullet"/>
      <w:lvlText w:val=""/>
      <w:lvlJc w:val="left"/>
      <w:pPr>
        <w:ind w:left="1080" w:hanging="720"/>
      </w:pPr>
      <w:rPr>
        <w:rFonts w:ascii="Wingdings" w:eastAsiaTheme="minorHAnsi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71341"/>
    <w:multiLevelType w:val="hybridMultilevel"/>
    <w:tmpl w:val="94A634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121A88"/>
    <w:rsid w:val="0020528B"/>
    <w:rsid w:val="004018F7"/>
    <w:rsid w:val="004C1AE9"/>
    <w:rsid w:val="004D3464"/>
    <w:rsid w:val="005F687E"/>
    <w:rsid w:val="00694209"/>
    <w:rsid w:val="006B522B"/>
    <w:rsid w:val="0073493F"/>
    <w:rsid w:val="007441B1"/>
    <w:rsid w:val="0078146A"/>
    <w:rsid w:val="007B5A58"/>
    <w:rsid w:val="007C7A79"/>
    <w:rsid w:val="007D53D7"/>
    <w:rsid w:val="008551E5"/>
    <w:rsid w:val="009A6D05"/>
    <w:rsid w:val="00A97EDA"/>
    <w:rsid w:val="00AC578A"/>
    <w:rsid w:val="00AC6B11"/>
    <w:rsid w:val="00B64F5C"/>
    <w:rsid w:val="00BD0551"/>
    <w:rsid w:val="00C03515"/>
    <w:rsid w:val="00C32C11"/>
    <w:rsid w:val="00CD0B19"/>
    <w:rsid w:val="00D05A3F"/>
    <w:rsid w:val="00D42423"/>
    <w:rsid w:val="00D91FDF"/>
    <w:rsid w:val="00D92539"/>
    <w:rsid w:val="00E1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character" w:customStyle="1" w:styleId="bulletsChar">
    <w:name w:val="bullets Char"/>
    <w:basedOn w:val="DefaultParagraphFont"/>
    <w:link w:val="bullets"/>
    <w:locked/>
    <w:rsid w:val="006B522B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bullets">
    <w:name w:val="bullets"/>
    <w:basedOn w:val="Normal"/>
    <w:link w:val="bulletsChar"/>
    <w:qFormat/>
    <w:rsid w:val="006B522B"/>
    <w:pPr>
      <w:suppressAutoHyphens/>
      <w:autoSpaceDE w:val="0"/>
      <w:autoSpaceDN w:val="0"/>
      <w:adjustRightInd w:val="0"/>
      <w:spacing w:after="57" w:line="240" w:lineRule="atLeast"/>
      <w:ind w:left="720" w:hanging="360"/>
    </w:pPr>
    <w:rPr>
      <w:rFonts w:ascii="Arial" w:hAnsi="Arial" w:cs="Arial"/>
      <w:color w:val="323373"/>
      <w:spacing w:val="-2"/>
      <w:sz w:val="18"/>
      <w:szCs w:val="18"/>
      <w:lang w:val="en-US"/>
    </w:rPr>
  </w:style>
  <w:style w:type="character" w:customStyle="1" w:styleId="bodycopyChar">
    <w:name w:val="body copy Char"/>
    <w:basedOn w:val="DefaultParagraphFont"/>
    <w:link w:val="bodycopy"/>
    <w:locked/>
    <w:rsid w:val="006B522B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bodycopy">
    <w:name w:val="body copy"/>
    <w:basedOn w:val="Normal"/>
    <w:link w:val="bodycopyChar"/>
    <w:qFormat/>
    <w:rsid w:val="006B522B"/>
    <w:pPr>
      <w:suppressAutoHyphens/>
      <w:autoSpaceDE w:val="0"/>
      <w:autoSpaceDN w:val="0"/>
      <w:adjustRightInd w:val="0"/>
      <w:spacing w:after="57" w:line="240" w:lineRule="atLeast"/>
    </w:pPr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pws.nt.gov.au/__data/assets/pdf_file/0005/269330/fs-swimming-pool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ingwatersmart.com.au/articles/how-find-and-fix-lea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ingwatersmart.com.au/articles/how-find-and-fix-lea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tersecurity.nt.gov.au/ho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A1B4-7D6A-4310-ACD8-1EC68922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6</cp:revision>
  <dcterms:created xsi:type="dcterms:W3CDTF">2023-07-05T01:23:00Z</dcterms:created>
  <dcterms:modified xsi:type="dcterms:W3CDTF">2023-07-05T04:53:00Z</dcterms:modified>
</cp:coreProperties>
</file>